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3B" w:rsidRDefault="008E493B" w:rsidP="008E493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8E493B" w:rsidRDefault="008E493B" w:rsidP="008E493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8E493B" w:rsidRDefault="008E493B" w:rsidP="008E493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8E493B" w:rsidRDefault="008E493B" w:rsidP="008E493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 </w:t>
      </w:r>
      <w:r w:rsidR="003E171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травня  2021 року                  № </w:t>
      </w:r>
      <w:r w:rsidR="000F727B">
        <w:rPr>
          <w:rFonts w:ascii="Times New Roman" w:hAnsi="Times New Roman"/>
          <w:sz w:val="24"/>
          <w:szCs w:val="24"/>
        </w:rPr>
        <w:t>5</w:t>
      </w:r>
      <w:r w:rsidR="00A56FB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-о/д</w:t>
      </w:r>
    </w:p>
    <w:p w:rsidR="008E493B" w:rsidRDefault="008E493B" w:rsidP="008E4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E493B" w:rsidRDefault="008E493B" w:rsidP="008E493B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8E493B" w:rsidRPr="008E493B" w:rsidRDefault="008E493B" w:rsidP="008E493B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8E493B">
        <w:rPr>
          <w:b/>
          <w:bCs/>
          <w:lang w:val="uk-UA"/>
        </w:rPr>
        <w:t xml:space="preserve">проведення конкурсу </w:t>
      </w:r>
      <w:r w:rsidRPr="008E493B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</w:t>
      </w:r>
      <w:r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вакантної </w:t>
      </w:r>
      <w:r w:rsidRPr="008E493B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8E493B">
        <w:rPr>
          <w:b/>
          <w:color w:val="000000"/>
          <w:lang w:val="uk-UA" w:eastAsia="uk-UA" w:bidi="uk-UA"/>
        </w:rPr>
        <w:t xml:space="preserve">категорії «В» </w:t>
      </w:r>
      <w:r w:rsidRPr="008E493B">
        <w:rPr>
          <w:rFonts w:eastAsia="Arial Unicode MS"/>
          <w:b/>
          <w:bCs/>
          <w:lang w:val="uk-UA"/>
        </w:rPr>
        <w:t>-</w:t>
      </w:r>
      <w:r w:rsidRPr="008E493B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головного спеціаліста</w:t>
      </w:r>
      <w:r w:rsidRPr="008E493B">
        <w:rPr>
          <w:b/>
          <w:color w:val="000000"/>
          <w:lang w:val="uk-UA" w:eastAsia="uk-UA" w:bidi="uk-UA"/>
        </w:rPr>
        <w:t xml:space="preserve"> відділу </w:t>
      </w:r>
      <w:r>
        <w:rPr>
          <w:b/>
          <w:color w:val="000000"/>
          <w:lang w:val="uk-UA" w:eastAsia="uk-UA" w:bidi="uk-UA"/>
        </w:rPr>
        <w:t>управління державним майном</w:t>
      </w:r>
      <w:r w:rsidRPr="008E493B">
        <w:rPr>
          <w:b/>
          <w:color w:val="000000"/>
          <w:lang w:val="uk-UA" w:eastAsia="uk-UA" w:bidi="uk-UA"/>
        </w:rPr>
        <w:t xml:space="preserve"> Житомирського апеляційного суду</w:t>
      </w:r>
      <w:r w:rsidRPr="008E493B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97"/>
        <w:gridCol w:w="59"/>
        <w:gridCol w:w="5421"/>
      </w:tblGrid>
      <w:tr w:rsidR="008E493B" w:rsidTr="008E493B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2E7" w:rsidRDefault="003E1710" w:rsidP="00F222E7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та організації процедур закупівлі товарів, робіт та послуг за державні кошти:                                                                                                                - підготовка документації щодо організації процедур закупівлі товарів, робіт та послуг за державні кошти (проектів договорів та інших правових угод, пов’язаних з виконанням покладених на відділ обов’язків з наступним укладенням в установленому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порядку);</w:t>
            </w:r>
          </w:p>
          <w:p w:rsidR="003E1710" w:rsidRDefault="003E1710" w:rsidP="00F2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виконання функції уповноваженої особи з питань організації та проведення процедур закупівель/ спрощених закупівель Житомирського апеляційного суду.</w:t>
            </w:r>
          </w:p>
          <w:p w:rsidR="00F222E7" w:rsidRPr="003E1710" w:rsidRDefault="00F222E7" w:rsidP="00F2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710" w:rsidRPr="003E1710" w:rsidRDefault="003E1710" w:rsidP="00F222E7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підготовки проектів листів-відповідей з питань, які належать до компетенції відділу.</w:t>
            </w:r>
          </w:p>
          <w:p w:rsidR="003E1710" w:rsidRPr="003E1710" w:rsidRDefault="003E1710" w:rsidP="003E1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інвентарних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номерів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основним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засобам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малоцінним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швидкозно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proofErr w:type="spellStart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уваним</w:t>
            </w:r>
            <w:proofErr w:type="spellEnd"/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предметам.</w:t>
            </w: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E1710" w:rsidRPr="003E1710" w:rsidRDefault="00F222E7" w:rsidP="003E1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Здійснення контролю </w:t>
            </w:r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за строками </w:t>
            </w:r>
            <w:proofErr w:type="spellStart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товарно-</w:t>
            </w:r>
            <w:proofErr w:type="spellStart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матеріальних</w:t>
            </w:r>
            <w:proofErr w:type="spellEnd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цінностей</w:t>
            </w:r>
            <w:proofErr w:type="spellEnd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на</w:t>
            </w:r>
            <w:r w:rsidR="003E1710" w:rsidRPr="003E1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списання</w:t>
            </w:r>
            <w:r w:rsidR="003E1710"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та малоцінного інвентарю, який знаходиться в непридатному стані.</w:t>
            </w:r>
          </w:p>
          <w:p w:rsidR="003E1710" w:rsidRPr="003E1710" w:rsidRDefault="003E1710" w:rsidP="00F222E7">
            <w:pPr>
              <w:spacing w:before="100" w:beforeAutospacing="1" w:after="100" w:afterAutospacing="1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щорічному проведенні інвентаризації основних засобів, товарно- матеріальних цінностей та інших матеріалів (входить в склад інвентаризаційної комісії).</w:t>
            </w:r>
          </w:p>
          <w:p w:rsidR="003E1710" w:rsidRPr="003E1710" w:rsidRDefault="003E1710" w:rsidP="00F222E7">
            <w:pPr>
              <w:spacing w:before="100" w:beforeAutospacing="1" w:after="100" w:afterAutospacing="1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складських операцій.</w:t>
            </w:r>
          </w:p>
          <w:p w:rsidR="008E493B" w:rsidRDefault="003E1710" w:rsidP="00F222E7">
            <w:pPr>
              <w:spacing w:before="100" w:beforeAutospacing="1" w:after="100" w:afterAutospacing="1" w:line="240" w:lineRule="auto"/>
              <w:ind w:firstLine="29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інших доручень начальника відділу, голови суду та керівника апарату суду.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Умови оплати праці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 w:rsidP="0056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</w:t>
            </w:r>
            <w:r w:rsidR="00F22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грн.</w:t>
            </w:r>
          </w:p>
          <w:p w:rsidR="008E493B" w:rsidRDefault="008E493B" w:rsidP="0056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8E493B" w:rsidRDefault="008E493B" w:rsidP="0056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8E493B" w:rsidRDefault="008E493B" w:rsidP="00562C0F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   відповідно до статті 52 Закону України «Про   державну службу».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93B" w:rsidRDefault="008E493B" w:rsidP="0056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Безстроково</w:t>
            </w:r>
          </w:p>
          <w:p w:rsidR="008E493B" w:rsidRDefault="008E493B" w:rsidP="0056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E493B" w:rsidRDefault="008E493B" w:rsidP="00562C0F">
            <w:pPr>
              <w:pStyle w:val="rvps14"/>
              <w:spacing w:before="0" w:beforeAutospacing="0" w:after="0" w:afterAutospacing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93B" w:rsidRDefault="008E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2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4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5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6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8" w:name="n1177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E493B" w:rsidRDefault="008E493B" w:rsidP="0030376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</w:t>
            </w:r>
            <w:r>
              <w:rPr>
                <w:b/>
                <w:lang w:val="uk-UA" w:eastAsia="en-US"/>
              </w:rPr>
              <w:lastRenderedPageBreak/>
              <w:t xml:space="preserve">державної служби за адресою: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8E493B" w:rsidRDefault="008E493B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8E493B" w:rsidRDefault="008E493B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8E493B" w:rsidRDefault="00303768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31</w:t>
            </w:r>
            <w:r w:rsidR="008E493B">
              <w:rPr>
                <w:b/>
                <w:lang w:val="uk-UA" w:eastAsia="en-US"/>
              </w:rPr>
              <w:t xml:space="preserve"> травня 2021</w:t>
            </w:r>
            <w:r w:rsidR="008E493B"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Додаткові (необов’язкові) документи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2"/>
              <w:spacing w:before="0" w:beforeAutospacing="0" w:after="0" w:afterAutospacing="0" w:line="25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93B" w:rsidRDefault="008E493B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8E493B" w:rsidRDefault="008E493B">
            <w:pPr>
              <w:pStyle w:val="rvps1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493B" w:rsidRDefault="00303768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</w:t>
            </w:r>
            <w:r w:rsidR="008E49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червня</w:t>
            </w:r>
            <w:r w:rsidR="008E49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2021 року о 10  год. 00 хв.</w:t>
            </w:r>
          </w:p>
          <w:p w:rsidR="008E493B" w:rsidRDefault="008E493B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8E493B" w:rsidRDefault="008E493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8E493B" w:rsidRDefault="008E493B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8E493B" w:rsidRDefault="008E493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493B" w:rsidRDefault="008E493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8E493B" w:rsidTr="008E493B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4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8E493B" w:rsidRDefault="008E4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тел. (0412) 41-86-57</w:t>
            </w:r>
          </w:p>
          <w:p w:rsidR="008E493B" w:rsidRDefault="008E49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8E493B" w:rsidTr="008E493B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 w:rsidP="007B3DF4">
            <w:pPr>
              <w:pStyle w:val="rvps14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 xml:space="preserve">не нижче бакалавра </w:t>
            </w:r>
            <w:r w:rsidR="007B3DF4">
              <w:rPr>
                <w:lang w:eastAsia="en-US"/>
              </w:rPr>
              <w:t>за спеціальністю «Економіка» або «Економіка підприємства»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8E493B" w:rsidTr="008E493B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8E493B" w:rsidTr="008E493B"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DA1" w:rsidP="008E4DA1">
            <w:pPr>
              <w:spacing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DA1" w:rsidRDefault="008E4DA1" w:rsidP="008E4D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8E4DA1" w:rsidRDefault="008E4DA1" w:rsidP="008E4D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8E493B" w:rsidRDefault="008E4DA1" w:rsidP="008E4DA1">
            <w:pPr>
              <w:widowControl w:val="0"/>
              <w:tabs>
                <w:tab w:val="left" w:pos="361"/>
              </w:tabs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DA1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Досягнення результатів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DA1" w:rsidRPr="008E4DA1" w:rsidRDefault="008E4DA1" w:rsidP="008E4D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187" w:righ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E4DA1" w:rsidRPr="008E4DA1" w:rsidRDefault="008E4DA1" w:rsidP="008E4D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187" w:righ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E493B" w:rsidRPr="008E4DA1" w:rsidRDefault="008E4DA1" w:rsidP="008E4DA1">
            <w:pPr>
              <w:pStyle w:val="a6"/>
              <w:numPr>
                <w:ilvl w:val="0"/>
                <w:numId w:val="3"/>
              </w:numPr>
              <w:tabs>
                <w:tab w:val="left" w:pos="754"/>
                <w:tab w:val="left" w:pos="1037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E4DA1">
              <w:rPr>
                <w:color w:val="000000"/>
              </w:rPr>
              <w:t>вміння</w:t>
            </w:r>
            <w:proofErr w:type="spellEnd"/>
            <w:r w:rsidRPr="008E4DA1">
              <w:rPr>
                <w:color w:val="000000"/>
              </w:rPr>
              <w:t xml:space="preserve"> </w:t>
            </w:r>
            <w:proofErr w:type="spellStart"/>
            <w:r w:rsidRPr="008E4DA1">
              <w:rPr>
                <w:color w:val="000000"/>
              </w:rPr>
              <w:t>запобігати</w:t>
            </w:r>
            <w:proofErr w:type="spellEnd"/>
            <w:r w:rsidRPr="008E4DA1">
              <w:rPr>
                <w:color w:val="000000"/>
              </w:rPr>
              <w:t xml:space="preserve"> та </w:t>
            </w:r>
            <w:proofErr w:type="spellStart"/>
            <w:r w:rsidRPr="008E4DA1">
              <w:rPr>
                <w:color w:val="000000"/>
              </w:rPr>
              <w:t>ефективно</w:t>
            </w:r>
            <w:proofErr w:type="spellEnd"/>
            <w:r w:rsidRPr="008E4DA1">
              <w:rPr>
                <w:color w:val="000000"/>
              </w:rPr>
              <w:t xml:space="preserve"> </w:t>
            </w:r>
            <w:proofErr w:type="spellStart"/>
            <w:r w:rsidRPr="008E4DA1">
              <w:rPr>
                <w:color w:val="000000"/>
              </w:rPr>
              <w:t>долати</w:t>
            </w:r>
            <w:proofErr w:type="spellEnd"/>
            <w:r w:rsidRPr="008E4DA1">
              <w:rPr>
                <w:color w:val="000000"/>
              </w:rPr>
              <w:t xml:space="preserve"> </w:t>
            </w:r>
            <w:proofErr w:type="spellStart"/>
            <w:r w:rsidRPr="008E4DA1">
              <w:rPr>
                <w:color w:val="000000"/>
              </w:rPr>
              <w:t>перешкоди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DA1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ділових переговорів</w:t>
            </w:r>
            <w:r w:rsidR="008E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DA1" w:rsidRDefault="008E493B" w:rsidP="008E4D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8E4DA1" w:rsidRDefault="008E4DA1" w:rsidP="008E4D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:rsidR="008E493B" w:rsidRPr="008E4DA1" w:rsidRDefault="008E4DA1" w:rsidP="008E4DA1">
            <w:pPr>
              <w:suppressLineNumbers/>
              <w:ind w:left="178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8E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  <w:r w:rsidR="006D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493B" w:rsidTr="008E493B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8E493B" w:rsidTr="008E493B"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8E493B" w:rsidRDefault="008E493B" w:rsidP="001526EE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8E493B" w:rsidRDefault="008E493B" w:rsidP="001526EE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8E493B" w:rsidRDefault="008E493B" w:rsidP="001526EE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8E493B" w:rsidRDefault="008E493B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8E493B" w:rsidTr="008E493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93B" w:rsidRDefault="008E493B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8E493B" w:rsidRDefault="006D129D" w:rsidP="001526EE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 Про публічні закупівлі»</w:t>
            </w:r>
            <w:r w:rsidR="00E87E06">
              <w:rPr>
                <w:lang w:val="uk-UA" w:eastAsia="en-US"/>
              </w:rPr>
              <w:t>;</w:t>
            </w:r>
          </w:p>
          <w:p w:rsidR="00E87E06" w:rsidRDefault="00E87E06" w:rsidP="001526EE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кодекс України;</w:t>
            </w:r>
          </w:p>
          <w:p w:rsidR="00E87E06" w:rsidRDefault="00E87E06" w:rsidP="001526EE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Бюджетний кодекс України</w:t>
            </w:r>
          </w:p>
        </w:tc>
      </w:tr>
    </w:tbl>
    <w:p w:rsidR="008E493B" w:rsidRDefault="008E493B" w:rsidP="008E493B"/>
    <w:p w:rsidR="008E493B" w:rsidRDefault="008E493B" w:rsidP="008E493B"/>
    <w:p w:rsidR="008E493B" w:rsidRDefault="008E493B" w:rsidP="008E493B"/>
    <w:p w:rsidR="00155DFF" w:rsidRDefault="00155DFF"/>
    <w:sectPr w:rsidR="001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B"/>
    <w:rsid w:val="000F727B"/>
    <w:rsid w:val="00155DFF"/>
    <w:rsid w:val="00303768"/>
    <w:rsid w:val="003E1710"/>
    <w:rsid w:val="004C1007"/>
    <w:rsid w:val="00562C0F"/>
    <w:rsid w:val="006D129D"/>
    <w:rsid w:val="007B3DF4"/>
    <w:rsid w:val="008E493B"/>
    <w:rsid w:val="008E4DA1"/>
    <w:rsid w:val="00A56FB9"/>
    <w:rsid w:val="00CA0E7D"/>
    <w:rsid w:val="00E87E06"/>
    <w:rsid w:val="00F222E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52B2"/>
  <w15:docId w15:val="{1EB48C6F-795B-47BC-A746-EE70FA9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3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3B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8E493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8E493B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8E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8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8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493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E493B"/>
  </w:style>
  <w:style w:type="character" w:customStyle="1" w:styleId="FontStyle31">
    <w:name w:val="Font Style31"/>
    <w:basedOn w:val="a0"/>
    <w:uiPriority w:val="99"/>
    <w:rsid w:val="008E493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8E493B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10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10</cp:revision>
  <cp:lastPrinted>2021-05-24T08:54:00Z</cp:lastPrinted>
  <dcterms:created xsi:type="dcterms:W3CDTF">2021-05-20T11:10:00Z</dcterms:created>
  <dcterms:modified xsi:type="dcterms:W3CDTF">2021-05-24T09:40:00Z</dcterms:modified>
</cp:coreProperties>
</file>